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F" w:rsidRDefault="001F2F5F" w:rsidP="001F2F5F">
      <w:pPr>
        <w:shd w:val="clear" w:color="auto" w:fill="F5F5F5"/>
        <w:spacing w:after="0" w:line="240" w:lineRule="atLeast"/>
        <w:textAlignment w:val="baseline"/>
        <w:outlineLvl w:val="0"/>
        <w:rPr>
          <w:rFonts w:ascii="Arial" w:eastAsia="Times New Roman" w:hAnsi="Arial" w:cs="Arial"/>
          <w:b/>
          <w:bCs/>
          <w:color w:val="A80532"/>
          <w:kern w:val="36"/>
          <w:sz w:val="51"/>
          <w:szCs w:val="51"/>
        </w:rPr>
      </w:pPr>
      <w:r w:rsidRPr="001F2F5F">
        <w:rPr>
          <w:rFonts w:ascii="Arial" w:eastAsia="Times New Roman" w:hAnsi="Arial" w:cs="Arial"/>
          <w:b/>
          <w:bCs/>
          <w:color w:val="A80532"/>
          <w:kern w:val="36"/>
          <w:sz w:val="51"/>
          <w:szCs w:val="51"/>
        </w:rPr>
        <w:t>Thomas A. Cloud, B.C.S.</w:t>
      </w:r>
    </w:p>
    <w:p w:rsidR="001F2F5F" w:rsidRPr="001F2F5F" w:rsidRDefault="001F2F5F" w:rsidP="001F2F5F">
      <w:pPr>
        <w:shd w:val="clear" w:color="auto" w:fill="F5F5F5"/>
        <w:spacing w:after="0" w:line="240" w:lineRule="atLeast"/>
        <w:textAlignment w:val="baseline"/>
        <w:outlineLvl w:val="0"/>
        <w:rPr>
          <w:rFonts w:ascii="Arial" w:eastAsia="Times New Roman" w:hAnsi="Arial" w:cs="Arial"/>
          <w:b/>
          <w:bCs/>
          <w:color w:val="A80532"/>
          <w:kern w:val="36"/>
          <w:sz w:val="51"/>
          <w:szCs w:val="51"/>
        </w:rPr>
      </w:pPr>
      <w:r w:rsidRPr="001F2F5F">
        <w:rPr>
          <w:rFonts w:ascii="Perpetua" w:eastAsia="Times New Roman" w:hAnsi="Perpetua" w:cs="Arial"/>
          <w:b/>
          <w:bCs/>
          <w:caps/>
          <w:color w:val="5A5B5B"/>
          <w:spacing w:val="90"/>
          <w:kern w:val="36"/>
          <w:sz w:val="27"/>
          <w:szCs w:val="27"/>
          <w:bdr w:val="none" w:sz="0" w:space="0" w:color="auto" w:frame="1"/>
        </w:rPr>
        <w:t>ATTORNEY AT LAW</w:t>
      </w:r>
    </w:p>
    <w:p w:rsidR="001F2F5F" w:rsidRDefault="001F2F5F" w:rsidP="001F2F5F">
      <w:pPr>
        <w:shd w:val="clear" w:color="auto" w:fill="F5F5F5"/>
        <w:spacing w:after="120" w:line="285" w:lineRule="atLeast"/>
        <w:textAlignment w:val="baseline"/>
        <w:rPr>
          <w:rFonts w:ascii="Arial" w:eastAsia="Times New Roman" w:hAnsi="Arial" w:cs="Arial"/>
          <w:color w:val="5A5B5B"/>
          <w:sz w:val="45"/>
          <w:szCs w:val="45"/>
        </w:rPr>
      </w:pPr>
      <w:r w:rsidRPr="001F2F5F">
        <w:rPr>
          <w:rFonts w:ascii="Arial" w:eastAsia="Times New Roman" w:hAnsi="Arial" w:cs="Arial"/>
          <w:color w:val="5A5B5B"/>
          <w:sz w:val="45"/>
          <w:szCs w:val="45"/>
        </w:rPr>
        <w:t>Shareholder</w:t>
      </w:r>
    </w:p>
    <w:p w:rsidR="001F2F5F" w:rsidRPr="001F2F5F" w:rsidRDefault="001F2F5F" w:rsidP="001F2F5F">
      <w:pPr>
        <w:shd w:val="clear" w:color="auto" w:fill="F5F5F5"/>
        <w:spacing w:after="120" w:line="285" w:lineRule="atLeast"/>
        <w:textAlignment w:val="baseline"/>
        <w:rPr>
          <w:rFonts w:ascii="Arial" w:eastAsia="Times New Roman" w:hAnsi="Arial" w:cs="Arial"/>
          <w:color w:val="5A5B5B"/>
          <w:sz w:val="45"/>
          <w:szCs w:val="45"/>
        </w:rPr>
      </w:pPr>
      <w:proofErr w:type="spellStart"/>
      <w:r>
        <w:rPr>
          <w:rFonts w:ascii="Arial" w:eastAsia="Times New Roman" w:hAnsi="Arial" w:cs="Arial"/>
          <w:color w:val="5A5B5B"/>
          <w:sz w:val="45"/>
          <w:szCs w:val="45"/>
        </w:rPr>
        <w:t>GrayRobinson</w:t>
      </w:r>
      <w:proofErr w:type="spellEnd"/>
    </w:p>
    <w:p w:rsidR="001F2F5F" w:rsidRPr="001F2F5F" w:rsidRDefault="001F2F5F" w:rsidP="001F2F5F">
      <w:r w:rsidRPr="001F2F5F">
        <w:t xml:space="preserve">Through four decades, Tom has been a local and state government, utility, land use, and environmental law attorney. Board certified in City, County and Local Government Law, Tom has represented over 70 Florida cities, including five as city attorney. His practice includes negotiating complex contracts, drafting dozens of city and county legislative initiatives and ordinances, creation and defense of municipal rates, fees, assessments, and charges, obtaining state and local government regulatory approvals and all matters attendant to the acquisition, development and utilization of both real property and business acquisitions and sales. He has been responsible for the application and approval of over 25 Developments of Regional Impact throughout central Florida, as well as dozens of other complex land use matters. In addition to handling municipal, land use and environmental matters, Tom is one of the preeminent municipal utility attorneys in Florida, having successfully handled a wide variety of both transactional and litigation matters within the field. He has handled a variety of complex municipal, </w:t>
      </w:r>
      <w:proofErr w:type="gramStart"/>
      <w:r w:rsidRPr="001F2F5F">
        <w:t>county,</w:t>
      </w:r>
      <w:proofErr w:type="gramEnd"/>
      <w:r w:rsidRPr="001F2F5F">
        <w:t xml:space="preserve"> and special district financial transactions, including the defense of various capital and operational rates, fees, assessments, and charges. Tom has written, presented and published dozens of articles on a variety of local government topics for various sections of The Florida Bar, Stetson Law Review and other publications.</w:t>
      </w:r>
    </w:p>
    <w:p w:rsidR="001F2F5F" w:rsidRPr="001F2F5F" w:rsidRDefault="001F2F5F" w:rsidP="001F2F5F">
      <w:r w:rsidRPr="001F2F5F">
        <w:t>Tom currently serves as city attorney in three cities in Central Florida, is the current President of the Florida Municipal Attorneys Association, and has represented numerous cities and counties throughout Florida in a variety of legal matters throughout his career.</w:t>
      </w:r>
    </w:p>
    <w:p w:rsidR="001F2F5F" w:rsidRPr="001F2F5F" w:rsidRDefault="001F2F5F" w:rsidP="001F2F5F">
      <w:proofErr w:type="spellStart"/>
      <w:r w:rsidRPr="001F2F5F">
        <w:t>GrayRobinson's</w:t>
      </w:r>
      <w:proofErr w:type="spellEnd"/>
      <w:r w:rsidRPr="001F2F5F">
        <w:t xml:space="preserve"> utilities lawyers have a long history of representing water, wastewater, solid waste, telecommunications, gas and electric utilities throughout the state of Florida. Our utilities lawyers have represented clients in numerous transactions for the purchase and sale of entire water and wastewater facilities. We have assisted our electric utility clients with power plant permitting and siting issues and have negotiated all manner of agreements associated with the ongoing operation and maintenance of power generation facilities. We have more recently assembled a team to address the needs of the growing number of private power plant developers that must navigate the siting and permitting process in Florida.</w:t>
      </w:r>
    </w:p>
    <w:p w:rsidR="00BB2DC5" w:rsidRPr="001F2F5F" w:rsidRDefault="001F2F5F" w:rsidP="001F2F5F">
      <w:bookmarkStart w:id="0" w:name="_GoBack"/>
      <w:bookmarkEnd w:id="0"/>
      <w:r w:rsidRPr="001F2F5F">
        <w:t xml:space="preserve">Through coordination between the Orlando and Tallahassee offices of </w:t>
      </w:r>
      <w:proofErr w:type="spellStart"/>
      <w:r w:rsidRPr="001F2F5F">
        <w:t>GrayRobinson</w:t>
      </w:r>
      <w:proofErr w:type="spellEnd"/>
      <w:r w:rsidRPr="001F2F5F">
        <w:t xml:space="preserve">, we are able to offer assistance and counsel to both public and private utilities in the permitting and construction of new facilities as well as the purchase and sale of existing facilities and the associated transfer of permits. We also represent operational utilities in rate cases before the Florida Public Service Commission. </w:t>
      </w:r>
      <w:proofErr w:type="spellStart"/>
      <w:r w:rsidRPr="001F2F5F">
        <w:t>GrayRobinson's</w:t>
      </w:r>
      <w:proofErr w:type="spellEnd"/>
      <w:r w:rsidRPr="001F2F5F">
        <w:t xml:space="preserve"> utilities lawyers strive to offer full-service utilities representation.</w:t>
      </w:r>
    </w:p>
    <w:sectPr w:rsidR="00BB2DC5" w:rsidRPr="001F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5F"/>
    <w:rsid w:val="001F2F5F"/>
    <w:rsid w:val="00BB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2020-02-13T18:51:00Z</dcterms:created>
  <dcterms:modified xsi:type="dcterms:W3CDTF">2020-02-13T18:55:00Z</dcterms:modified>
</cp:coreProperties>
</file>